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1E1B58">
      <w:pPr>
        <w:ind w:left="5040" w:hanging="5040"/>
        <w:jc w:val="center"/>
        <w:rPr>
          <w:bCs/>
        </w:rPr>
      </w:pPr>
    </w:p>
    <w:p w14:paraId="4846E319" w14:textId="77777777" w:rsidR="001E1B5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 xml:space="preserve">Lõpparuande vorm </w:t>
      </w:r>
    </w:p>
    <w:p w14:paraId="5ACE3DDF" w14:textId="77777777" w:rsidR="001E1B58" w:rsidRDefault="001E1B58" w:rsidP="001E1B58">
      <w:pPr>
        <w:ind w:left="5040" w:hanging="5040"/>
        <w:jc w:val="center"/>
        <w:rPr>
          <w:b/>
          <w:bCs/>
        </w:rPr>
      </w:pPr>
    </w:p>
    <w:p w14:paraId="5A5F518B" w14:textId="652C7614" w:rsidR="009C4A94" w:rsidRPr="00CF6C9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>„</w:t>
      </w:r>
      <w:r w:rsidR="00BE0FE9">
        <w:rPr>
          <w:b/>
          <w:bCs/>
        </w:rPr>
        <w:t>Kohalik</w:t>
      </w:r>
      <w:r w:rsidR="00E61049">
        <w:rPr>
          <w:b/>
          <w:bCs/>
        </w:rPr>
        <w:t>u</w:t>
      </w:r>
      <w:r w:rsidR="00BE0FE9">
        <w:rPr>
          <w:b/>
          <w:bCs/>
        </w:rPr>
        <w:t xml:space="preserve"> omavalitsus</w:t>
      </w:r>
      <w:r w:rsidR="00E61049">
        <w:rPr>
          <w:b/>
          <w:bCs/>
        </w:rPr>
        <w:t>e üksuse</w:t>
      </w:r>
      <w:r w:rsidR="00BE0FE9">
        <w:rPr>
          <w:b/>
          <w:bCs/>
        </w:rPr>
        <w:t xml:space="preserve"> riigikaitselise kriisivalmiduse</w:t>
      </w:r>
      <w:r w:rsidR="001E1B58">
        <w:rPr>
          <w:b/>
          <w:bCs/>
        </w:rPr>
        <w:t xml:space="preserve"> </w:t>
      </w:r>
      <w:r w:rsidR="00BE0FE9">
        <w:rPr>
          <w:b/>
          <w:bCs/>
        </w:rPr>
        <w:t>suurendamine</w:t>
      </w:r>
      <w:r w:rsidRPr="00CF6C98">
        <w:rPr>
          <w:b/>
          <w:bCs/>
        </w:rPr>
        <w:t>“</w:t>
      </w: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0DD11D06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 : </w:t>
      </w:r>
      <w:r w:rsidR="00A8605B" w:rsidRPr="00A8605B">
        <w:t>6.4-2.1.1/192ML</w:t>
      </w:r>
    </w:p>
    <w:p w14:paraId="3A85F45B" w14:textId="6B8935B7" w:rsidR="009C4A94" w:rsidRDefault="009C4A94" w:rsidP="009C4A94">
      <w:pPr>
        <w:spacing w:line="360" w:lineRule="auto"/>
      </w:pPr>
      <w:r>
        <w:t xml:space="preserve">Aruande esitaja: </w:t>
      </w:r>
      <w:r w:rsidR="00742663">
        <w:t>Haapsalu linnavalitsus</w:t>
      </w:r>
    </w:p>
    <w:p w14:paraId="3FFC1283" w14:textId="4C7AE8BF" w:rsidR="009C4A94" w:rsidRDefault="009C4A94" w:rsidP="009C4A94">
      <w:pPr>
        <w:spacing w:line="360" w:lineRule="auto"/>
      </w:pPr>
      <w:r>
        <w:t>Projekti läbiviimise aeg:</w:t>
      </w:r>
      <w:r w:rsidR="008A20CF">
        <w:t xml:space="preserve"> juu</w:t>
      </w:r>
      <w:r w:rsidR="00627A9A">
        <w:t xml:space="preserve">li </w:t>
      </w:r>
      <w:r w:rsidR="00037A80">
        <w:t>2024</w:t>
      </w:r>
      <w:r w:rsidR="00A8605B">
        <w:t xml:space="preserve"> </w:t>
      </w:r>
      <w:r w:rsidR="00037A80">
        <w:t>- detsember 2024</w:t>
      </w:r>
    </w:p>
    <w:p w14:paraId="445F020F" w14:textId="19E1FACB" w:rsidR="009C4A94" w:rsidRDefault="009C4A94" w:rsidP="009C4A94">
      <w:pPr>
        <w:spacing w:line="360" w:lineRule="auto"/>
      </w:pPr>
      <w:r>
        <w:t xml:space="preserve">Aruande koostamise kuupäev: </w:t>
      </w:r>
      <w:r w:rsidR="00037A80">
        <w:t>14.01.2024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1843"/>
        <w:gridCol w:w="1486"/>
      </w:tblGrid>
      <w:tr w:rsidR="009944D1" w:rsidRPr="002E6A55" w14:paraId="54884CBD" w14:textId="77777777" w:rsidTr="00694D7E">
        <w:tc>
          <w:tcPr>
            <w:tcW w:w="5851" w:type="dxa"/>
            <w:shd w:val="clear" w:color="auto" w:fill="F4B083"/>
          </w:tcPr>
          <w:p w14:paraId="5D39E5FB" w14:textId="2422AFF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138C147" w14:textId="56B11A4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eelarve kulud</w:t>
            </w:r>
          </w:p>
        </w:tc>
        <w:tc>
          <w:tcPr>
            <w:tcW w:w="1486" w:type="dxa"/>
            <w:shd w:val="clear" w:color="auto" w:fill="F4B083"/>
          </w:tcPr>
          <w:p w14:paraId="495B7445" w14:textId="634A25CE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44D1" w:rsidRPr="002E6A55" w14:paraId="6537FFF2" w14:textId="77777777" w:rsidTr="00694D7E">
        <w:tc>
          <w:tcPr>
            <w:tcW w:w="5851" w:type="dxa"/>
            <w:shd w:val="clear" w:color="auto" w:fill="auto"/>
          </w:tcPr>
          <w:p w14:paraId="2F097914" w14:textId="1F6556AB" w:rsidR="009944D1" w:rsidRPr="002E6A55" w:rsidRDefault="00B34B22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B34B22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Diiselgeneraator G0330BDGRCA5T4000S GRUPEL, seerianumber 20027279 </w:t>
            </w:r>
            <w:r w:rsidR="005C0D1A">
              <w:rPr>
                <w:b/>
                <w:bCs/>
                <w:noProof/>
                <w:sz w:val="22"/>
                <w:szCs w:val="22"/>
                <w:lang w:eastAsia="en-US"/>
              </w:rPr>
              <w:t>(</w:t>
            </w:r>
            <w:r w:rsidRPr="00B34B22">
              <w:rPr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="005C0D1A">
              <w:rPr>
                <w:b/>
                <w:bCs/>
                <w:noProof/>
                <w:sz w:val="22"/>
                <w:szCs w:val="22"/>
                <w:lang w:eastAsia="en-US"/>
              </w:rPr>
              <w:t>tk)</w:t>
            </w:r>
            <w:r w:rsidRPr="00B34B22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Kütusemahuti 2500L</w:t>
            </w:r>
            <w:r w:rsidR="005C0D1A">
              <w:rPr>
                <w:b/>
                <w:bCs/>
                <w:noProof/>
                <w:sz w:val="22"/>
                <w:szCs w:val="22"/>
                <w:lang w:eastAsia="en-US"/>
              </w:rPr>
              <w:t>(</w:t>
            </w:r>
            <w:r w:rsidRPr="00B34B22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1</w:t>
            </w:r>
            <w:r w:rsidR="005C0D1A">
              <w:rPr>
                <w:b/>
                <w:bCs/>
                <w:noProof/>
                <w:sz w:val="22"/>
                <w:szCs w:val="22"/>
                <w:lang w:eastAsia="en-US"/>
              </w:rPr>
              <w:t>tk)</w:t>
            </w:r>
            <w:r w:rsidRPr="00B34B22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Rajatud generaatorialune plats ja lukustatav võrkaed </w:t>
            </w:r>
            <w:r w:rsidR="005C0D1A">
              <w:rPr>
                <w:b/>
                <w:bCs/>
                <w:noProof/>
                <w:sz w:val="22"/>
                <w:szCs w:val="22"/>
                <w:lang w:eastAsia="en-US"/>
              </w:rPr>
              <w:t>(</w:t>
            </w:r>
            <w:r w:rsidRPr="00B34B22">
              <w:rPr>
                <w:b/>
                <w:bCs/>
                <w:noProof/>
                <w:sz w:val="22"/>
                <w:szCs w:val="22"/>
                <w:lang w:eastAsia="en-US"/>
              </w:rPr>
              <w:t>komplekt</w:t>
            </w:r>
            <w:r w:rsidR="005C0D1A">
              <w:rPr>
                <w:b/>
                <w:bCs/>
                <w:noProof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976CD82" w14:textId="21F43087" w:rsidR="009944D1" w:rsidRPr="002E6A55" w:rsidRDefault="00A33F3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65 000</w:t>
            </w:r>
          </w:p>
        </w:tc>
        <w:tc>
          <w:tcPr>
            <w:tcW w:w="1486" w:type="dxa"/>
          </w:tcPr>
          <w:p w14:paraId="7DB6B483" w14:textId="2E8B27C7" w:rsidR="009944D1" w:rsidRPr="00893504" w:rsidRDefault="00E13923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58 926</w:t>
            </w:r>
          </w:p>
        </w:tc>
      </w:tr>
      <w:tr w:rsidR="009944D1" w:rsidRPr="002E6A55" w14:paraId="729067D9" w14:textId="77777777" w:rsidTr="00A82E3C">
        <w:tc>
          <w:tcPr>
            <w:tcW w:w="5851" w:type="dxa"/>
            <w:shd w:val="clear" w:color="auto" w:fill="auto"/>
          </w:tcPr>
          <w:p w14:paraId="3062D895" w14:textId="445A9AE9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B1B94A8" w14:textId="64AFB90A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4C22EAA4" w14:textId="6B458297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944D1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77777777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18B4001" w14:textId="77777777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76233C14" w14:textId="77777777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944D1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7A503F04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KULU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D KOKKU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547FC155" w14:textId="77777777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4428C9BF" w14:textId="1CAE2A87" w:rsidR="009944D1" w:rsidRPr="002E6A55" w:rsidRDefault="0038227F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58 926</w:t>
            </w:r>
          </w:p>
        </w:tc>
      </w:tr>
    </w:tbl>
    <w:p w14:paraId="418B29D5" w14:textId="77777777" w:rsidR="009C4A94" w:rsidRPr="008917E9" w:rsidRDefault="009C4A94" w:rsidP="009C4A94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2ADBFA4C" w14:textId="677461AA" w:rsidR="009C4A94" w:rsidRPr="008B2415" w:rsidRDefault="00D654C7" w:rsidP="00D654C7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 w:rsidRPr="00D654C7">
              <w:rPr>
                <w:bCs/>
                <w:noProof/>
                <w:sz w:val="22"/>
                <w:szCs w:val="22"/>
                <w:lang w:eastAsia="en-US"/>
              </w:rPr>
              <w:t>Projekti tulemusel saavutab Haapsalu linn taseme, milles on olemas kriisiolukorras toimepidev evakuatsioonipunkt.</w:t>
            </w:r>
            <w:r w:rsidR="00F80A00">
              <w:rPr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D654C7">
              <w:rPr>
                <w:bCs/>
                <w:noProof/>
                <w:sz w:val="22"/>
                <w:szCs w:val="22"/>
                <w:lang w:eastAsia="en-US"/>
              </w:rPr>
              <w:t>Evakuatsioonipunktis generaatori olemasolu tagab kindlustunde Haapsalu linna elanikele.</w:t>
            </w:r>
            <w:r w:rsidR="00F80A00">
              <w:rPr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D654C7">
              <w:rPr>
                <w:bCs/>
                <w:noProof/>
                <w:sz w:val="22"/>
                <w:szCs w:val="22"/>
                <w:lang w:eastAsia="en-US"/>
              </w:rPr>
              <w:t>Generaartori kasutamiseks on juhendatud inimsed, kes generaarotit oskavad käivitada.</w:t>
            </w:r>
            <w:r w:rsidR="002F4BD0">
              <w:rPr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2F4BD0" w:rsidRPr="002F4BD0">
              <w:rPr>
                <w:bCs/>
                <w:noProof/>
                <w:sz w:val="22"/>
                <w:szCs w:val="22"/>
                <w:lang w:eastAsia="en-US"/>
              </w:rPr>
              <w:t>Projekti tulemusel on Läänemaal ainulaadne toimepidev evakuatsioonipunkt vähemalt 500 inimesele, mis oleks toimiv ka võimaliku elektrikatkestuse korral.</w:t>
            </w: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62814" w14:textId="77777777" w:rsidR="00193E6F" w:rsidRDefault="006269A8" w:rsidP="00193E6F">
            <w:pPr>
              <w:numPr>
                <w:ilvl w:val="0"/>
                <w:numId w:val="2"/>
              </w:numPr>
              <w:jc w:val="both"/>
              <w:rPr>
                <w:noProof/>
                <w:sz w:val="22"/>
                <w:szCs w:val="22"/>
              </w:rPr>
            </w:pPr>
            <w:r>
              <w:t>Projekti tegevuse tulemusena on Läänemaal (Lihula maantee 10, Haapsalu linn</w:t>
            </w:r>
            <w:r w:rsidR="00253840">
              <w:t>/ Mulla 1</w:t>
            </w:r>
            <w:r>
              <w:t>) ainulaadne toimepidev evakuatsioonipunkt vähemalt 500 inimesele, mis on toimiv ka võimaliku elektrikatkestuse korral.</w:t>
            </w:r>
            <w:r w:rsidR="002F4BD0">
              <w:t xml:space="preserve"> </w:t>
            </w:r>
            <w:r w:rsidR="006B71B2" w:rsidRPr="0090149C">
              <w:rPr>
                <w:noProof/>
                <w:sz w:val="22"/>
                <w:szCs w:val="22"/>
              </w:rPr>
              <w:t>Generaatori</w:t>
            </w:r>
            <w:r w:rsidR="006B71B2">
              <w:rPr>
                <w:noProof/>
                <w:sz w:val="22"/>
                <w:szCs w:val="22"/>
              </w:rPr>
              <w:t xml:space="preserve"> (diisel</w:t>
            </w:r>
            <w:r w:rsidR="006B71B2" w:rsidRPr="0090149C">
              <w:rPr>
                <w:noProof/>
                <w:sz w:val="22"/>
                <w:szCs w:val="22"/>
              </w:rPr>
              <w:t>generaator</w:t>
            </w:r>
            <w:r w:rsidR="006B71B2">
              <w:rPr>
                <w:noProof/>
                <w:sz w:val="22"/>
                <w:szCs w:val="22"/>
              </w:rPr>
              <w:t xml:space="preserve"> 300kVA/240/kW pidev 275kVA/220kW)</w:t>
            </w:r>
            <w:r w:rsidR="006B71B2" w:rsidRPr="0090149C">
              <w:rPr>
                <w:noProof/>
                <w:sz w:val="22"/>
                <w:szCs w:val="22"/>
              </w:rPr>
              <w:t xml:space="preserve"> soetamisega </w:t>
            </w:r>
            <w:r w:rsidR="002D3FA6">
              <w:rPr>
                <w:noProof/>
                <w:sz w:val="22"/>
                <w:szCs w:val="22"/>
              </w:rPr>
              <w:t>on tagatud</w:t>
            </w:r>
            <w:r w:rsidR="006B71B2" w:rsidRPr="0090149C">
              <w:rPr>
                <w:noProof/>
                <w:sz w:val="22"/>
                <w:szCs w:val="22"/>
              </w:rPr>
              <w:t xml:space="preserve"> Haapsalu linnas täielikult toimepideva evakuatsioonipunkti vähemalt 500 inimesele, mis on rohkem kui 5%-le tiheasustusalal elavatest isikutest.</w:t>
            </w:r>
            <w:r w:rsidR="006B71B2">
              <w:rPr>
                <w:noProof/>
                <w:sz w:val="22"/>
                <w:szCs w:val="22"/>
              </w:rPr>
              <w:t xml:space="preserve"> </w:t>
            </w:r>
            <w:r w:rsidR="006B71B2" w:rsidRPr="0090149C">
              <w:rPr>
                <w:noProof/>
                <w:sz w:val="22"/>
                <w:szCs w:val="22"/>
              </w:rPr>
              <w:t xml:space="preserve">Generaatori soetamisega </w:t>
            </w:r>
            <w:r w:rsidR="006B71B2" w:rsidRPr="00026CE8">
              <w:rPr>
                <w:noProof/>
                <w:sz w:val="22"/>
                <w:szCs w:val="22"/>
              </w:rPr>
              <w:t>ning varsemalt loodud generaatori ühendamise võimekus</w:t>
            </w:r>
            <w:r w:rsidR="006B71B2">
              <w:rPr>
                <w:noProof/>
                <w:color w:val="FF0000"/>
                <w:sz w:val="22"/>
                <w:szCs w:val="22"/>
              </w:rPr>
              <w:t xml:space="preserve"> </w:t>
            </w:r>
            <w:r w:rsidR="006B71B2">
              <w:rPr>
                <w:noProof/>
                <w:sz w:val="22"/>
                <w:szCs w:val="22"/>
              </w:rPr>
              <w:t xml:space="preserve">tagab </w:t>
            </w:r>
            <w:r w:rsidR="006B71B2" w:rsidRPr="0090149C">
              <w:rPr>
                <w:noProof/>
                <w:sz w:val="22"/>
                <w:szCs w:val="22"/>
              </w:rPr>
              <w:t>Haapsalu Linna Spordibaaside evakuatsioonipunkt</w:t>
            </w:r>
            <w:r w:rsidR="006B71B2">
              <w:rPr>
                <w:noProof/>
                <w:sz w:val="22"/>
                <w:szCs w:val="22"/>
              </w:rPr>
              <w:t>i kohese toimimise.</w:t>
            </w:r>
            <w:r w:rsidR="00253840">
              <w:rPr>
                <w:noProof/>
                <w:sz w:val="22"/>
                <w:szCs w:val="22"/>
              </w:rPr>
              <w:t xml:space="preserve"> </w:t>
            </w:r>
          </w:p>
          <w:p w14:paraId="13A47F0E" w14:textId="77777777" w:rsidR="009C4A94" w:rsidRDefault="006B71B2" w:rsidP="001865BD">
            <w:pPr>
              <w:numPr>
                <w:ilvl w:val="0"/>
                <w:numId w:val="2"/>
              </w:num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Projektitegevustena paigalda</w:t>
            </w:r>
            <w:r w:rsidR="00420F28">
              <w:rPr>
                <w:noProof/>
                <w:sz w:val="22"/>
                <w:szCs w:val="22"/>
              </w:rPr>
              <w:t>ti</w:t>
            </w:r>
            <w:r>
              <w:rPr>
                <w:noProof/>
                <w:sz w:val="22"/>
                <w:szCs w:val="22"/>
              </w:rPr>
              <w:t>,</w:t>
            </w:r>
            <w:r w:rsidR="00193E6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generaator</w:t>
            </w:r>
            <w:r w:rsidR="00603215">
              <w:rPr>
                <w:noProof/>
                <w:sz w:val="22"/>
                <w:szCs w:val="22"/>
              </w:rPr>
              <w:t xml:space="preserve"> ja</w:t>
            </w:r>
            <w:r w:rsidR="0062612E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viiakse läbi seadistaimine ning juhendamine generaatori kasutusele võtmiseks.</w:t>
            </w:r>
            <w:r w:rsidR="00252F2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Vajadusel tehakse lisatööd, mis toetab generaatori kasutusele võtmist.</w:t>
            </w:r>
            <w:r w:rsidR="0062612E">
              <w:rPr>
                <w:noProof/>
                <w:sz w:val="22"/>
                <w:szCs w:val="22"/>
              </w:rPr>
              <w:t xml:space="preserve"> S</w:t>
            </w:r>
            <w:r w:rsidR="00193E6F" w:rsidRPr="00193E6F">
              <w:rPr>
                <w:noProof/>
                <w:sz w:val="22"/>
                <w:szCs w:val="22"/>
              </w:rPr>
              <w:t>õlmi</w:t>
            </w:r>
            <w:r w:rsidR="00252F22">
              <w:rPr>
                <w:noProof/>
                <w:sz w:val="22"/>
                <w:szCs w:val="22"/>
              </w:rPr>
              <w:t xml:space="preserve">takse </w:t>
            </w:r>
            <w:r w:rsidR="00193E6F" w:rsidRPr="00193E6F">
              <w:rPr>
                <w:noProof/>
                <w:sz w:val="22"/>
                <w:szCs w:val="22"/>
              </w:rPr>
              <w:t xml:space="preserve"> </w:t>
            </w:r>
            <w:r w:rsidR="00252F22" w:rsidRPr="00193E6F">
              <w:rPr>
                <w:noProof/>
                <w:sz w:val="22"/>
                <w:szCs w:val="22"/>
              </w:rPr>
              <w:t>kokkuleppe</w:t>
            </w:r>
            <w:r w:rsidR="00B424BA">
              <w:rPr>
                <w:noProof/>
                <w:sz w:val="22"/>
                <w:szCs w:val="22"/>
              </w:rPr>
              <w:t xml:space="preserve"> </w:t>
            </w:r>
            <w:r w:rsidR="00B424BA" w:rsidRPr="00193E6F">
              <w:rPr>
                <w:noProof/>
                <w:sz w:val="22"/>
                <w:szCs w:val="22"/>
              </w:rPr>
              <w:t>(mis sagedusel toimuvad hooldused, kes hoolduste eest vastutab ning tagab kütuse olemasolu jms</w:t>
            </w:r>
            <w:r w:rsidR="00B424BA">
              <w:rPr>
                <w:noProof/>
                <w:sz w:val="22"/>
                <w:szCs w:val="22"/>
              </w:rPr>
              <w:t>.</w:t>
            </w:r>
            <w:r w:rsidR="00B424BA" w:rsidRPr="00193E6F">
              <w:rPr>
                <w:noProof/>
                <w:sz w:val="22"/>
                <w:szCs w:val="22"/>
              </w:rPr>
              <w:t>)</w:t>
            </w:r>
            <w:r w:rsidR="00252F22" w:rsidRPr="00193E6F">
              <w:rPr>
                <w:noProof/>
                <w:sz w:val="22"/>
                <w:szCs w:val="22"/>
              </w:rPr>
              <w:t xml:space="preserve"> </w:t>
            </w:r>
            <w:r w:rsidR="00193E6F" w:rsidRPr="00193E6F">
              <w:rPr>
                <w:noProof/>
                <w:sz w:val="22"/>
                <w:szCs w:val="22"/>
              </w:rPr>
              <w:t>Haapsalu Linna Spordibaasidega generaatori kasutamiseks</w:t>
            </w:r>
            <w:r w:rsidR="00B424BA">
              <w:rPr>
                <w:noProof/>
                <w:sz w:val="22"/>
                <w:szCs w:val="22"/>
              </w:rPr>
              <w:t>,</w:t>
            </w:r>
            <w:r w:rsidR="005A6FE5">
              <w:rPr>
                <w:noProof/>
                <w:sz w:val="22"/>
                <w:szCs w:val="22"/>
              </w:rPr>
              <w:t xml:space="preserve"> </w:t>
            </w:r>
            <w:r w:rsidR="00B424BA">
              <w:rPr>
                <w:noProof/>
                <w:sz w:val="22"/>
                <w:szCs w:val="22"/>
              </w:rPr>
              <w:t xml:space="preserve">et </w:t>
            </w:r>
            <w:r w:rsidR="00B424BA" w:rsidRPr="00193E6F">
              <w:rPr>
                <w:noProof/>
                <w:sz w:val="22"/>
                <w:szCs w:val="22"/>
              </w:rPr>
              <w:t>taga</w:t>
            </w:r>
            <w:r w:rsidR="005A6FE5">
              <w:rPr>
                <w:noProof/>
                <w:sz w:val="22"/>
                <w:szCs w:val="22"/>
              </w:rPr>
              <w:t>da</w:t>
            </w:r>
            <w:r w:rsidR="00B424BA" w:rsidRPr="00193E6F">
              <w:rPr>
                <w:noProof/>
                <w:sz w:val="22"/>
                <w:szCs w:val="22"/>
              </w:rPr>
              <w:t xml:space="preserve"> </w:t>
            </w:r>
            <w:r w:rsidR="00252F22" w:rsidRPr="00193E6F">
              <w:rPr>
                <w:noProof/>
                <w:sz w:val="22"/>
                <w:szCs w:val="22"/>
              </w:rPr>
              <w:t>kriisiolukorras parim</w:t>
            </w:r>
            <w:r w:rsidR="005A6FE5">
              <w:rPr>
                <w:noProof/>
                <w:sz w:val="22"/>
                <w:szCs w:val="22"/>
              </w:rPr>
              <w:t xml:space="preserve"> </w:t>
            </w:r>
            <w:r w:rsidR="00252F22" w:rsidRPr="00193E6F">
              <w:rPr>
                <w:noProof/>
                <w:sz w:val="22"/>
                <w:szCs w:val="22"/>
              </w:rPr>
              <w:t>tulemus</w:t>
            </w:r>
            <w:r w:rsidR="005A6FE5">
              <w:rPr>
                <w:noProof/>
                <w:sz w:val="22"/>
                <w:szCs w:val="22"/>
              </w:rPr>
              <w:t>.</w:t>
            </w:r>
          </w:p>
          <w:p w14:paraId="6B1E164D" w14:textId="6679A7F2" w:rsidR="001865BD" w:rsidRPr="00187CBB" w:rsidRDefault="001865BD" w:rsidP="00187CBB">
            <w:pPr>
              <w:pStyle w:val="ListParagraph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  <w:r w:rsidRPr="001865BD">
              <w:rPr>
                <w:noProof/>
                <w:sz w:val="22"/>
                <w:szCs w:val="22"/>
              </w:rPr>
              <w:lastRenderedPageBreak/>
              <w:t>Generaatori</w:t>
            </w:r>
            <w:r>
              <w:rPr>
                <w:noProof/>
                <w:sz w:val="22"/>
                <w:szCs w:val="22"/>
              </w:rPr>
              <w:t>t</w:t>
            </w:r>
            <w:r w:rsidRPr="001865BD">
              <w:rPr>
                <w:noProof/>
                <w:sz w:val="22"/>
                <w:szCs w:val="22"/>
              </w:rPr>
              <w:t xml:space="preserve"> on plaanis</w:t>
            </w:r>
            <w:r w:rsidR="003C2FC6">
              <w:rPr>
                <w:noProof/>
                <w:sz w:val="22"/>
                <w:szCs w:val="22"/>
              </w:rPr>
              <w:t xml:space="preserve"> testida </w:t>
            </w:r>
            <w:r w:rsidR="00187CBB">
              <w:rPr>
                <w:noProof/>
                <w:sz w:val="22"/>
                <w:szCs w:val="22"/>
              </w:rPr>
              <w:t xml:space="preserve">võimalusel ka õppuse käigus, et olla kindel </w:t>
            </w:r>
            <w:r w:rsidRPr="001865BD">
              <w:rPr>
                <w:noProof/>
                <w:sz w:val="22"/>
                <w:szCs w:val="22"/>
              </w:rPr>
              <w:t>evakuatsioonipunkti toimepidevus</w:t>
            </w:r>
            <w:r w:rsidR="00187CBB">
              <w:rPr>
                <w:noProof/>
                <w:sz w:val="22"/>
                <w:szCs w:val="22"/>
              </w:rPr>
              <w:t xml:space="preserve">es. </w:t>
            </w: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lastRenderedPageBreak/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05E132E2" w14:textId="77777777" w:rsidR="009C4A94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69BF66" w14:textId="44DE2FBE" w:rsidR="009C4A94" w:rsidRDefault="00736FD6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Kahjuks</w:t>
            </w:r>
            <w:r w:rsidR="00794379">
              <w:rPr>
                <w:b/>
                <w:sz w:val="22"/>
                <w:szCs w:val="22"/>
                <w:lang w:eastAsia="en-US"/>
              </w:rPr>
              <w:t xml:space="preserve"> võttis tarneaeg </w:t>
            </w:r>
            <w:r w:rsidR="00847871">
              <w:rPr>
                <w:b/>
                <w:sz w:val="22"/>
                <w:szCs w:val="22"/>
                <w:lang w:eastAsia="en-US"/>
              </w:rPr>
              <w:t>oodatust</w:t>
            </w:r>
            <w:r w:rsidR="004C1504">
              <w:rPr>
                <w:b/>
                <w:sz w:val="22"/>
                <w:szCs w:val="22"/>
                <w:lang w:eastAsia="en-US"/>
              </w:rPr>
              <w:t xml:space="preserve"> rohk</w:t>
            </w:r>
            <w:r w:rsidR="001617D1">
              <w:rPr>
                <w:b/>
                <w:sz w:val="22"/>
                <w:szCs w:val="22"/>
                <w:lang w:eastAsia="en-US"/>
              </w:rPr>
              <w:t>em</w:t>
            </w:r>
            <w:r w:rsidR="00847871">
              <w:rPr>
                <w:b/>
                <w:sz w:val="22"/>
                <w:szCs w:val="22"/>
                <w:lang w:eastAsia="en-US"/>
              </w:rPr>
              <w:t xml:space="preserve"> aega</w:t>
            </w:r>
            <w:r w:rsidR="00081428">
              <w:rPr>
                <w:b/>
                <w:sz w:val="22"/>
                <w:szCs w:val="22"/>
                <w:lang w:eastAsia="en-US"/>
              </w:rPr>
              <w:t>, mis ei s</w:t>
            </w:r>
            <w:r w:rsidR="00767FCC">
              <w:rPr>
                <w:b/>
                <w:sz w:val="22"/>
                <w:szCs w:val="22"/>
                <w:lang w:eastAsia="en-US"/>
              </w:rPr>
              <w:t>õltunu</w:t>
            </w:r>
            <w:r w:rsidR="002F4BD0">
              <w:rPr>
                <w:b/>
                <w:sz w:val="22"/>
                <w:szCs w:val="22"/>
                <w:lang w:eastAsia="en-US"/>
              </w:rPr>
              <w:t xml:space="preserve">d meist. Aga </w:t>
            </w:r>
            <w:r w:rsidR="00794379">
              <w:rPr>
                <w:b/>
                <w:sz w:val="22"/>
                <w:szCs w:val="22"/>
                <w:lang w:eastAsia="en-US"/>
              </w:rPr>
              <w:t>pr</w:t>
            </w:r>
            <w:r w:rsidR="00847871">
              <w:rPr>
                <w:b/>
                <w:sz w:val="22"/>
                <w:szCs w:val="22"/>
                <w:lang w:eastAsia="en-US"/>
              </w:rPr>
              <w:t>o</w:t>
            </w:r>
            <w:r w:rsidR="00794379">
              <w:rPr>
                <w:b/>
                <w:sz w:val="22"/>
                <w:szCs w:val="22"/>
                <w:lang w:eastAsia="en-US"/>
              </w:rPr>
              <w:t>bleem</w:t>
            </w:r>
            <w:r w:rsidR="001617D1">
              <w:rPr>
                <w:b/>
                <w:sz w:val="22"/>
                <w:szCs w:val="22"/>
                <w:lang w:eastAsia="en-US"/>
              </w:rPr>
              <w:t xml:space="preserve"> sai</w:t>
            </w:r>
            <w:r w:rsidR="00794379">
              <w:rPr>
                <w:b/>
                <w:sz w:val="22"/>
                <w:szCs w:val="22"/>
                <w:lang w:eastAsia="en-US"/>
              </w:rPr>
              <w:t xml:space="preserve"> 2024</w:t>
            </w:r>
            <w:r w:rsidR="001617D1">
              <w:rPr>
                <w:b/>
                <w:sz w:val="22"/>
                <w:szCs w:val="22"/>
                <w:lang w:eastAsia="en-US"/>
              </w:rPr>
              <w:t>.</w:t>
            </w:r>
            <w:r w:rsidR="00794379">
              <w:rPr>
                <w:b/>
                <w:sz w:val="22"/>
                <w:szCs w:val="22"/>
                <w:lang w:eastAsia="en-US"/>
              </w:rPr>
              <w:t xml:space="preserve"> aasta lõpuks </w:t>
            </w:r>
            <w:r w:rsidR="00847871">
              <w:rPr>
                <w:b/>
                <w:sz w:val="22"/>
                <w:szCs w:val="22"/>
                <w:lang w:eastAsia="en-US"/>
              </w:rPr>
              <w:t xml:space="preserve">lahendatud. </w:t>
            </w:r>
          </w:p>
          <w:p w14:paraId="12E087D8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32F6A166" w14:textId="4005192B" w:rsidR="006D430E" w:rsidRDefault="00B215C3" w:rsidP="0025176C">
            <w:pPr>
              <w:pStyle w:val="ListParagraph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Lep</w:t>
            </w:r>
            <w:r w:rsidR="002D7B51">
              <w:rPr>
                <w:b/>
                <w:sz w:val="22"/>
                <w:szCs w:val="22"/>
                <w:lang w:eastAsia="en-US"/>
              </w:rPr>
              <w:t>ing</w:t>
            </w:r>
          </w:p>
          <w:p w14:paraId="7DD7D39A" w14:textId="5EE685C8" w:rsidR="002D7B51" w:rsidRDefault="002D7B51" w:rsidP="0025176C">
            <w:pPr>
              <w:pStyle w:val="ListParagraph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Hankedokumendid</w:t>
            </w:r>
          </w:p>
          <w:p w14:paraId="5B34063F" w14:textId="34EED049" w:rsidR="00C60553" w:rsidRDefault="00C60553" w:rsidP="0025176C">
            <w:pPr>
              <w:pStyle w:val="ListParagraph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Asjade Üleandmise – vastuvõtmise akt</w:t>
            </w:r>
          </w:p>
          <w:p w14:paraId="05A6D9CA" w14:textId="7D9C5123" w:rsidR="00DD37AF" w:rsidRDefault="00DD37AF" w:rsidP="0025176C">
            <w:pPr>
              <w:pStyle w:val="ListParagraph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Arve </w:t>
            </w:r>
          </w:p>
          <w:p w14:paraId="1CF78343" w14:textId="6B260AED" w:rsidR="00DD37AF" w:rsidRPr="0025176C" w:rsidRDefault="00DD37AF" w:rsidP="0025176C">
            <w:pPr>
              <w:pStyle w:val="ListParagraph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Maksekorraldus</w:t>
            </w:r>
          </w:p>
          <w:p w14:paraId="3A9AA151" w14:textId="77777777" w:rsidR="006D430E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92B8368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33C1DFEF" w:rsidR="009C4A94" w:rsidRDefault="009C4A94" w:rsidP="009C4A94">
      <w:r>
        <w:t xml:space="preserve">Aruande koostamise kuupäev: </w:t>
      </w:r>
      <w:r w:rsidR="0025176C">
        <w:t>14.01.2024</w:t>
      </w:r>
    </w:p>
    <w:p w14:paraId="53DBCF6E" w14:textId="77777777" w:rsidR="009C4A94" w:rsidRDefault="009C4A94" w:rsidP="009C4A94">
      <w:r>
        <w:t xml:space="preserve"> </w:t>
      </w:r>
    </w:p>
    <w:p w14:paraId="32B19A09" w14:textId="6AF8A7B3" w:rsidR="009C4A94" w:rsidRDefault="009C4A94" w:rsidP="009C4A94">
      <w:r>
        <w:t xml:space="preserve">Aruande koostanud: </w:t>
      </w:r>
      <w:r w:rsidR="00AA0419">
        <w:t>Urve Sara</w:t>
      </w:r>
      <w:r w:rsidR="0025176C">
        <w:t>pik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507"/>
    <w:multiLevelType w:val="hybridMultilevel"/>
    <w:tmpl w:val="D90AD49A"/>
    <w:lvl w:ilvl="0" w:tplc="823230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6EA"/>
    <w:multiLevelType w:val="hybridMultilevel"/>
    <w:tmpl w:val="862A6D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78791">
    <w:abstractNumId w:val="1"/>
  </w:num>
  <w:num w:numId="2" w16cid:durableId="10067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037A80"/>
    <w:rsid w:val="00081428"/>
    <w:rsid w:val="001617D1"/>
    <w:rsid w:val="001865BD"/>
    <w:rsid w:val="00187CBB"/>
    <w:rsid w:val="00193E6F"/>
    <w:rsid w:val="001B38FB"/>
    <w:rsid w:val="001E1B58"/>
    <w:rsid w:val="001F6514"/>
    <w:rsid w:val="0025176C"/>
    <w:rsid w:val="00252F22"/>
    <w:rsid w:val="00253840"/>
    <w:rsid w:val="002D3FA6"/>
    <w:rsid w:val="002D7B51"/>
    <w:rsid w:val="002F4BD0"/>
    <w:rsid w:val="0038227F"/>
    <w:rsid w:val="003C2FC6"/>
    <w:rsid w:val="003D0A5B"/>
    <w:rsid w:val="003E4E6E"/>
    <w:rsid w:val="00420F28"/>
    <w:rsid w:val="00463A96"/>
    <w:rsid w:val="004C1504"/>
    <w:rsid w:val="0052217C"/>
    <w:rsid w:val="005973C6"/>
    <w:rsid w:val="005A6FE5"/>
    <w:rsid w:val="005C0D1A"/>
    <w:rsid w:val="00603215"/>
    <w:rsid w:val="00621794"/>
    <w:rsid w:val="0062612E"/>
    <w:rsid w:val="006269A8"/>
    <w:rsid w:val="00627A9A"/>
    <w:rsid w:val="00674E08"/>
    <w:rsid w:val="006B71B2"/>
    <w:rsid w:val="006B749E"/>
    <w:rsid w:val="006D430E"/>
    <w:rsid w:val="00711ACE"/>
    <w:rsid w:val="00736FD6"/>
    <w:rsid w:val="00742663"/>
    <w:rsid w:val="00753257"/>
    <w:rsid w:val="00754225"/>
    <w:rsid w:val="00767FCC"/>
    <w:rsid w:val="00794379"/>
    <w:rsid w:val="007C64CA"/>
    <w:rsid w:val="007E009B"/>
    <w:rsid w:val="008141D0"/>
    <w:rsid w:val="00847871"/>
    <w:rsid w:val="008A20CF"/>
    <w:rsid w:val="008D1631"/>
    <w:rsid w:val="008F78E7"/>
    <w:rsid w:val="009573A0"/>
    <w:rsid w:val="009944D1"/>
    <w:rsid w:val="009C4A94"/>
    <w:rsid w:val="00A33F35"/>
    <w:rsid w:val="00A40204"/>
    <w:rsid w:val="00A8605B"/>
    <w:rsid w:val="00AA0419"/>
    <w:rsid w:val="00AC56C1"/>
    <w:rsid w:val="00AF6888"/>
    <w:rsid w:val="00B215C3"/>
    <w:rsid w:val="00B34B22"/>
    <w:rsid w:val="00B424BA"/>
    <w:rsid w:val="00BC36D8"/>
    <w:rsid w:val="00BE0FE9"/>
    <w:rsid w:val="00C60553"/>
    <w:rsid w:val="00CC03D6"/>
    <w:rsid w:val="00CD20D7"/>
    <w:rsid w:val="00CF6C98"/>
    <w:rsid w:val="00D22D99"/>
    <w:rsid w:val="00D51FED"/>
    <w:rsid w:val="00D654C7"/>
    <w:rsid w:val="00DD37AF"/>
    <w:rsid w:val="00DE5B0B"/>
    <w:rsid w:val="00E13923"/>
    <w:rsid w:val="00E61049"/>
    <w:rsid w:val="00EC393A"/>
    <w:rsid w:val="00EC5DD8"/>
    <w:rsid w:val="00F20D98"/>
    <w:rsid w:val="00F80A00"/>
    <w:rsid w:val="00F97169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ListParagraph">
    <w:name w:val="List Paragraph"/>
    <w:basedOn w:val="Normal"/>
    <w:uiPriority w:val="34"/>
    <w:qFormat/>
    <w:rsid w:val="0025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Urve Sarapik</cp:lastModifiedBy>
  <cp:revision>2</cp:revision>
  <dcterms:created xsi:type="dcterms:W3CDTF">2025-01-14T12:35:00Z</dcterms:created>
  <dcterms:modified xsi:type="dcterms:W3CDTF">2025-01-14T12:35:00Z</dcterms:modified>
</cp:coreProperties>
</file>